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B3" w:rsidRPr="000D7CF3" w:rsidRDefault="00FF2856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9161AA" w:rsidRPr="000D7CF3" w:rsidRDefault="009161AA" w:rsidP="009161A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161AA" w:rsidRPr="000D7CF3" w:rsidRDefault="009161AA" w:rsidP="009161A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0D7CF3">
        <w:rPr>
          <w:rFonts w:ascii="IRBadr" w:hAnsi="IRBadr" w:cs="IRBadr"/>
          <w:sz w:val="28"/>
          <w:rtl/>
        </w:rPr>
        <w:fldChar w:fldCharType="begin"/>
      </w:r>
      <w:r w:rsidRPr="000D7CF3">
        <w:rPr>
          <w:rFonts w:ascii="IRBadr" w:hAnsi="IRBadr" w:cs="IRBadr"/>
          <w:sz w:val="28"/>
          <w:rtl/>
        </w:rPr>
        <w:instrText xml:space="preserve"> </w:instrText>
      </w:r>
      <w:r w:rsidRPr="000D7CF3">
        <w:rPr>
          <w:rFonts w:ascii="IRBadr" w:hAnsi="IRBadr" w:cs="IRBadr"/>
          <w:sz w:val="28"/>
        </w:rPr>
        <w:instrText>TOC</w:instrText>
      </w:r>
      <w:r w:rsidRPr="000D7CF3">
        <w:rPr>
          <w:rFonts w:ascii="IRBadr" w:hAnsi="IRBadr" w:cs="IRBadr"/>
          <w:sz w:val="28"/>
          <w:rtl/>
        </w:rPr>
        <w:instrText xml:space="preserve"> \</w:instrText>
      </w:r>
      <w:r w:rsidRPr="000D7CF3">
        <w:rPr>
          <w:rFonts w:ascii="IRBadr" w:hAnsi="IRBadr" w:cs="IRBadr"/>
          <w:sz w:val="28"/>
        </w:rPr>
        <w:instrText>o "</w:instrText>
      </w:r>
      <w:r w:rsidRPr="000D7CF3">
        <w:rPr>
          <w:rFonts w:ascii="IRBadr" w:hAnsi="IRBadr" w:cs="IRBadr"/>
          <w:sz w:val="28"/>
          <w:rtl/>
        </w:rPr>
        <w:instrText>1-4</w:instrText>
      </w:r>
      <w:r w:rsidRPr="000D7CF3">
        <w:rPr>
          <w:rFonts w:ascii="IRBadr" w:hAnsi="IRBadr" w:cs="IRBadr"/>
          <w:sz w:val="28"/>
        </w:rPr>
        <w:instrText>" \h \z \u</w:instrText>
      </w:r>
      <w:r w:rsidRPr="000D7CF3">
        <w:rPr>
          <w:rFonts w:ascii="IRBadr" w:hAnsi="IRBadr" w:cs="IRBadr"/>
          <w:sz w:val="28"/>
          <w:rtl/>
        </w:rPr>
        <w:instrText xml:space="preserve"> </w:instrText>
      </w:r>
      <w:r w:rsidRPr="000D7CF3">
        <w:rPr>
          <w:rFonts w:ascii="IRBadr" w:hAnsi="IRBadr" w:cs="IRBadr"/>
          <w:sz w:val="28"/>
          <w:rtl/>
        </w:rPr>
        <w:fldChar w:fldCharType="separate"/>
      </w:r>
      <w:hyperlink w:anchor="_Toc427751951" w:history="1">
        <w:r w:rsidRPr="000D7CF3">
          <w:rPr>
            <w:rStyle w:val="Hyperlink"/>
            <w:rFonts w:ascii="IRBadr" w:hAnsi="IRBadr" w:cs="IRBadr"/>
            <w:noProof/>
            <w:rtl/>
          </w:rPr>
          <w:t>حد مرتد</w:t>
        </w:r>
        <w:r w:rsidRPr="000D7CF3">
          <w:rPr>
            <w:rFonts w:ascii="IRBadr" w:hAnsi="IRBadr" w:cs="IRBadr"/>
            <w:noProof/>
            <w:webHidden/>
          </w:rPr>
          <w:tab/>
        </w:r>
        <w:r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0D7CF3">
          <w:rPr>
            <w:rFonts w:ascii="IRBadr" w:hAnsi="IRBadr" w:cs="IRBadr"/>
            <w:noProof/>
            <w:webHidden/>
          </w:rPr>
          <w:instrText xml:space="preserve"> PAGEREF _Toc427751951 \h </w:instrText>
        </w:r>
        <w:r w:rsidRPr="000D7CF3">
          <w:rPr>
            <w:rStyle w:val="Hyperlink"/>
            <w:rFonts w:ascii="IRBadr" w:hAnsi="IRBadr" w:cs="IRBadr"/>
            <w:noProof/>
            <w:rtl/>
          </w:rPr>
        </w:r>
        <w:r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0D7CF3">
          <w:rPr>
            <w:rFonts w:ascii="IRBadr" w:hAnsi="IRBadr" w:cs="IRBadr"/>
            <w:noProof/>
            <w:webHidden/>
          </w:rPr>
          <w:t>1</w:t>
        </w:r>
        <w:r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2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_Toc427751952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1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3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دو اصل کلی در اصول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_Toc427751953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2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4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_Toc427751954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2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5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کلمه اسلام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_Toc427751955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2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6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_Toc427751956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3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7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روایتی در این باب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_Toc427751957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3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958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تقویت قول مشهور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_Toc427751958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4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959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اسلام احد ابوین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_Toc427751959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4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B12A25" w:rsidP="009161A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960" w:history="1">
        <w:r w:rsidR="009161AA" w:rsidRPr="000D7CF3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9161AA" w:rsidRPr="000D7CF3">
          <w:rPr>
            <w:rFonts w:ascii="IRBadr" w:hAnsi="IRBadr" w:cs="IRBadr"/>
            <w:noProof/>
            <w:webHidden/>
          </w:rPr>
          <w:tab/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161AA" w:rsidRPr="000D7CF3">
          <w:rPr>
            <w:rFonts w:ascii="IRBadr" w:hAnsi="IRBadr" w:cs="IRBadr"/>
            <w:noProof/>
            <w:webHidden/>
          </w:rPr>
          <w:instrText xml:space="preserve"> PAGEREF _Toc427751960 \h </w:instrText>
        </w:r>
        <w:r w:rsidR="009161AA" w:rsidRPr="000D7CF3">
          <w:rPr>
            <w:rStyle w:val="Hyperlink"/>
            <w:rFonts w:ascii="IRBadr" w:hAnsi="IRBadr" w:cs="IRBadr"/>
            <w:noProof/>
            <w:rtl/>
          </w:rPr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161AA" w:rsidRPr="000D7CF3">
          <w:rPr>
            <w:rFonts w:ascii="IRBadr" w:hAnsi="IRBadr" w:cs="IRBadr"/>
            <w:noProof/>
            <w:webHidden/>
          </w:rPr>
          <w:t>4</w:t>
        </w:r>
        <w:r w:rsidR="009161AA" w:rsidRPr="000D7CF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161AA" w:rsidRPr="000D7CF3" w:rsidRDefault="009161AA" w:rsidP="009161A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0D7CF3" w:rsidRDefault="000D7CF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751951"/>
      <w:r>
        <w:rPr>
          <w:rFonts w:ascii="IRBadr" w:hAnsi="IRBadr" w:cs="IRBadr"/>
          <w:rtl/>
        </w:rPr>
        <w:br w:type="page"/>
      </w:r>
    </w:p>
    <w:p w:rsidR="005435B3" w:rsidRPr="000D7CF3" w:rsidRDefault="005435B3" w:rsidP="005435B3">
      <w:pPr>
        <w:pStyle w:val="Heading1"/>
        <w:rPr>
          <w:rFonts w:ascii="IRBadr" w:hAnsi="IRBadr" w:cs="IRBadr"/>
          <w:rtl/>
        </w:rPr>
      </w:pPr>
      <w:r w:rsidRPr="000D7CF3">
        <w:rPr>
          <w:rFonts w:ascii="IRBadr" w:hAnsi="IRBadr" w:cs="IRBadr"/>
          <w:rtl/>
        </w:rPr>
        <w:lastRenderedPageBreak/>
        <w:t>حد مرتد</w:t>
      </w:r>
      <w:bookmarkEnd w:id="0"/>
    </w:p>
    <w:p w:rsidR="005435B3" w:rsidRPr="000D7CF3" w:rsidRDefault="005435B3" w:rsidP="005435B3">
      <w:pPr>
        <w:pStyle w:val="Heading1"/>
        <w:rPr>
          <w:rFonts w:ascii="IRBadr" w:hAnsi="IRBadr" w:cs="IRBadr"/>
          <w:rtl/>
        </w:rPr>
      </w:pPr>
      <w:bookmarkStart w:id="1" w:name="_Toc427751952"/>
      <w:r w:rsidRPr="000D7CF3">
        <w:rPr>
          <w:rFonts w:ascii="IRBadr" w:hAnsi="IRBadr" w:cs="IRBadr"/>
          <w:rtl/>
        </w:rPr>
        <w:t>مرور بحث سابق</w:t>
      </w:r>
      <w:bookmarkEnd w:id="1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در جلسه گذشته درباره مراد از اسلام در ارتداد از آن سخن گفته شد و دو قول مطرح شد که برخی در اینجا صرف اسلام تبعی را به خاطر اطلاق ادله کافی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می‌دانستند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در مقابل مشهور قائل بود که اسلام باید انتخابی و حقیقی باشد،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تا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احکام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در قبال مرتد بر آن مترتب شود.</w:t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2" w:name="_Toc427751953"/>
      <w:r w:rsidRPr="000D7CF3">
        <w:rPr>
          <w:rFonts w:ascii="IRBadr" w:hAnsi="IRBadr" w:cs="IRBadr"/>
          <w:rtl/>
        </w:rPr>
        <w:t>دو اصل کلی در اصول</w:t>
      </w:r>
      <w:bookmarkEnd w:id="2"/>
    </w:p>
    <w:p w:rsidR="005435B3" w:rsidRPr="000D7CF3" w:rsidRDefault="00FF2856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که مشخص است اگر لفظی دارای معنای حقیقی باشد،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حمل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بر آن خواهد شد که این معنای همان اصالت الحقیقه است.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طرفی دیگر نیز وجود اص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ل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حکومت در ادله اصلی 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انکارناپذیر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 که دلیل توسعه یا تضییق پیدا کند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و مراد از لفظ 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عمومی‌تر</w:t>
      </w:r>
      <w:r w:rsidR="00A22AC9">
        <w:rPr>
          <w:rFonts w:ascii="IRBadr" w:hAnsi="IRBadr" w:cs="IRBadr"/>
          <w:sz w:val="28"/>
          <w:szCs w:val="28"/>
          <w:rtl/>
          <w:lang w:bidi="fa-IR"/>
        </w:rPr>
        <w:t xml:space="preserve"> یا ضیق</w:t>
      </w:r>
      <w:r w:rsidR="00A22AC9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>تر از معنای اولیه و حقیقی خود شود.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دو ضابطه است که در اصول وجود دارد.</w:t>
      </w: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پس در اینجا بنای یکی از دو قول بر همین اصالت الحقیقة است که قول مشهور باشد و قائل به وجود دلیل تعبدی نیستند که موجب حکومت در این مقام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3" w:name="_Toc427751954"/>
      <w:r w:rsidRPr="000D7CF3">
        <w:rPr>
          <w:rFonts w:ascii="IRBadr" w:hAnsi="IRBadr" w:cs="IRBadr"/>
          <w:rtl/>
        </w:rPr>
        <w:t>اتخاذ مبنا</w:t>
      </w:r>
      <w:bookmarkEnd w:id="3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در قبال قول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به‌کفایت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اسلام تبعی باید گفت که بعید است قائلین بدین قول نیز معنی حقیقی اسلام را همان اسلام تبعی بدانند.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مبنای این اختلاف باشد،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 که گفته شود در اینجا دلیلی وجود دارد که به اطلاقه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اسلام حکمی مانند اسلام واقعی است.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فرزند فردی که مسلم شد،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مسلم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به‌حساب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بعید نیست که این دلیل و مانند آن بتواند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دلیلی حاکم اطلاق داشته باشد.</w:t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4" w:name="_Toc427751955"/>
      <w:r w:rsidRPr="000D7CF3">
        <w:rPr>
          <w:rFonts w:ascii="IRBadr" w:hAnsi="IRBadr" w:cs="IRBadr"/>
          <w:rtl/>
        </w:rPr>
        <w:t>کلمه اسلام</w:t>
      </w:r>
      <w:bookmarkEnd w:id="4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ظاهر آیات بدین گونه است که برای اسلام دو معنا وجود دارد؛</w:t>
      </w: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در یک معنی اسلام در مقابل ایمان است،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در آیاتی آمده است که اسلام از ایمان نیز بالاتر است؛</w:t>
      </w:r>
    </w:p>
    <w:p w:rsidR="005435B3" w:rsidRPr="000D7CF3" w:rsidRDefault="0088556B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lastRenderedPageBreak/>
        <w:t>«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فَلَمَّا أَسْلَما وَ تَلَّهُ لِلْجَبِ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ن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435B3" w:rsidRPr="000D7CF3">
        <w:rPr>
          <w:rFonts w:ascii="IRBadr" w:hAnsi="IRBadr" w:cs="IRBadr"/>
          <w:sz w:val="28"/>
          <w:szCs w:val="28"/>
          <w:vertAlign w:val="superscript"/>
          <w:rtl/>
          <w:lang w:bidi="fa-IR"/>
        </w:rPr>
        <w:footnoteReference w:id="1"/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اصطلاحی که اسلام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پایین‌تر</w:t>
      </w:r>
      <w:r w:rsidR="005435B3" w:rsidRPr="000D7CF3">
        <w:rPr>
          <w:rFonts w:ascii="IRBadr" w:hAnsi="IRBadr" w:cs="IRBadr"/>
          <w:sz w:val="28"/>
          <w:szCs w:val="28"/>
          <w:rtl/>
          <w:lang w:bidi="fa-IR"/>
        </w:rPr>
        <w:t xml:space="preserve"> از ایمان است که؛</w:t>
      </w:r>
    </w:p>
    <w:p w:rsidR="005435B3" w:rsidRPr="000D7CF3" w:rsidRDefault="0088556B" w:rsidP="005435B3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قالَتِ الْأَعْرابُ آمَنَّا قُلْ لَمْ تُؤْمِنُوا، وَ ل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نْ قُولُوا: أَسْلَمْنا وَ لَمَّا 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دْخُلِ الْإِ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مانُ فِ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قُلُوبِ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5435B3"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م</w:t>
      </w:r>
      <w:r w:rsidRPr="000D7CF3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5435B3" w:rsidRPr="000D7CF3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2"/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5" w:name="_Toc427751956"/>
      <w:r w:rsidRPr="000D7CF3">
        <w:rPr>
          <w:rFonts w:ascii="IRBadr" w:hAnsi="IRBadr" w:cs="IRBadr"/>
          <w:rtl/>
        </w:rPr>
        <w:t>اتخاذ مبنا</w:t>
      </w:r>
      <w:bookmarkEnd w:id="5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وجه دومی نیز که برای قول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به‌کفایت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اسلام تبعی بود،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کفایت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علت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 است که روایات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ادعاشده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اطلاق ندارد.</w:t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6" w:name="_Toc427751957"/>
      <w:r w:rsidRPr="000D7CF3">
        <w:rPr>
          <w:rFonts w:ascii="IRBadr" w:hAnsi="IRBadr" w:cs="IRBadr"/>
          <w:rtl/>
        </w:rPr>
        <w:t>روایتی در این باب</w:t>
      </w:r>
      <w:bookmarkEnd w:id="6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 روایات در ابواب حد مرتد، باب سه، حدیث هفت و صفحه پانصد و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چهل‌ونه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5435B3" w:rsidRPr="000D7CF3" w:rsidRDefault="005435B3" w:rsidP="005435B3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«عَنْهُ عَنْ أَبِ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عَنْ أَبِ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الْجَوْزَاءِ عَنِ الْحُسَ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بْنِ عُلْوَانَ عَنْ عَمْرِو بْنِ خَالِدٍ عَنْ زَ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دِ بْنِ عَلِ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آبَائِهِ عَنْ عَلِ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قَالَ: إِذَا أَسْلَمَ الْأَبُ جَرَّ الْوَلَدَ إِلَ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الْإِسْلَامِ فَمَنْ أَدْرَ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 وُلْدِهِ دُعِ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إِلَ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الْإِسْلَامِ فَإِنْ أَبَ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قُتِلَ وَ إِذَا أَسْلَمَ الْوَلَدُ لَمْ 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جُرَّ أَبَوَ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 وَ لَمْ 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 بَ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نَهُمَا مِ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رَاثٌ.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5435B3" w:rsidRPr="000D7CF3" w:rsidRDefault="005435B3" w:rsidP="005435B3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؛ وقتی پدر مسلمان شد، بچه‌هایش را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به سمت اسلام می‌کشاند، اما بحث ما در آنجایی است که کسی از حین انعقاد نطفه الحاق به پدر و مادر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پیداکرده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دید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این روایات آنجا را هم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؟ ظاهر امر این است که آنجا را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اما اگر بگوییم این روایت در این زمینه اولویت دارد،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اطلاق را نیز بپذیریم که همه احکام بر او مترتب خواهد شد.</w:t>
      </w:r>
    </w:p>
    <w:p w:rsidR="005435B3" w:rsidRPr="000D7CF3" w:rsidRDefault="005435B3" w:rsidP="005435B3">
      <w:pPr>
        <w:pStyle w:val="Heading2"/>
        <w:rPr>
          <w:rFonts w:ascii="IRBadr" w:hAnsi="IRBadr" w:cs="IRBadr"/>
          <w:rtl/>
        </w:rPr>
      </w:pPr>
      <w:bookmarkStart w:id="8" w:name="_Toc427751958"/>
      <w:r w:rsidRPr="000D7CF3">
        <w:rPr>
          <w:rFonts w:ascii="IRBadr" w:hAnsi="IRBadr" w:cs="IRBadr"/>
          <w:rtl/>
        </w:rPr>
        <w:t>تقویت قول مشهور</w:t>
      </w:r>
      <w:bookmarkEnd w:id="8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نکته‌ای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که در ورای استدلال قائلین به قول غیر مشهور وجود دارد،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 که قاعده درع مؤید و همراه قول مشهور است. چون اگر این قول را بپذیریم، باید بگوییم فردی که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به‌تبع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پدر و مادر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محکوم‌به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اسلام بود، و بعد از هنگام تمیز </w:t>
      </w:r>
      <w:r w:rsidR="00A22AC9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قولی یا هنگام بلوغ اعلام اظهار هم نکرده، مرتد خواهد بود.</w:t>
      </w:r>
    </w:p>
    <w:p w:rsidR="005435B3" w:rsidRPr="000D7CF3" w:rsidRDefault="005435B3" w:rsidP="005435B3">
      <w:pPr>
        <w:pStyle w:val="Heading3"/>
        <w:rPr>
          <w:rFonts w:ascii="IRBadr" w:hAnsi="IRBadr" w:cs="IRBadr"/>
          <w:rtl/>
        </w:rPr>
      </w:pPr>
      <w:bookmarkStart w:id="9" w:name="_Toc427751959"/>
      <w:r w:rsidRPr="000D7CF3">
        <w:rPr>
          <w:rFonts w:ascii="IRBadr" w:hAnsi="IRBadr" w:cs="IRBadr"/>
          <w:rtl/>
        </w:rPr>
        <w:lastRenderedPageBreak/>
        <w:t>اسلام احد ابوین</w:t>
      </w:r>
      <w:bookmarkEnd w:id="9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سؤالی در این مقام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به وجود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که آیا لازم است ابوین مسلم باشند یا اسلام یکی از آن دو کفایت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در اینجا برخلاف بحث سابق محل اختلاف نیست،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همه </w:t>
      </w:r>
      <w:r w:rsidR="00A22AC9">
        <w:rPr>
          <w:rFonts w:ascii="IRBadr" w:hAnsi="IRBadr" w:cs="IRBadr"/>
          <w:sz w:val="28"/>
          <w:szCs w:val="28"/>
          <w:rtl/>
          <w:lang w:bidi="fa-IR"/>
        </w:rPr>
        <w:t>فقها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اسلام احد ابوین را کافی 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>می‌دانند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>.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این زمینه مستنداتی نیز وجود دارد که در ابواب حد مرتد،</w:t>
      </w:r>
      <w:r w:rsidR="0088556B" w:rsidRPr="000D7CF3">
        <w:rPr>
          <w:rFonts w:ascii="IRBadr" w:hAnsi="IRBadr" w:cs="IRBadr"/>
          <w:sz w:val="28"/>
          <w:szCs w:val="28"/>
          <w:rtl/>
          <w:lang w:bidi="fa-IR"/>
        </w:rPr>
        <w:t xml:space="preserve"> جلد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هیجده و صفحه پانصد و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چهل‌وشش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F2856" w:rsidRPr="000D7CF3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0D7CF3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435B3" w:rsidRPr="000D7CF3" w:rsidRDefault="005435B3" w:rsidP="005435B3">
      <w:pPr>
        <w:pStyle w:val="Heading3"/>
        <w:rPr>
          <w:rFonts w:ascii="IRBadr" w:hAnsi="IRBadr" w:cs="IRBadr"/>
          <w:rtl/>
        </w:rPr>
      </w:pPr>
      <w:bookmarkStart w:id="10" w:name="_Toc427751960"/>
      <w:r w:rsidRPr="000D7CF3">
        <w:rPr>
          <w:rFonts w:ascii="IRBadr" w:hAnsi="IRBadr" w:cs="IRBadr"/>
          <w:rtl/>
        </w:rPr>
        <w:t>مستندات بحث</w:t>
      </w:r>
      <w:bookmarkEnd w:id="10"/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0D7CF3">
        <w:rPr>
          <w:rFonts w:ascii="IRBadr" w:hAnsi="IRBadr" w:cs="IRBadr"/>
          <w:sz w:val="28"/>
          <w:szCs w:val="28"/>
          <w:rtl/>
          <w:lang w:bidi="fa-IR"/>
        </w:rPr>
        <w:t>روایت اول دارای سند معتبری است البته این سند از دو جهت دارای اشکال است اما سند دیگری از جانب شیخ صدوق وجود دارد که آن معتبر است؛</w:t>
      </w:r>
    </w:p>
    <w:p w:rsidR="005435B3" w:rsidRPr="000D7CF3" w:rsidRDefault="005435B3" w:rsidP="005435B3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«حُمَ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 بْنُ زِ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عَنِ الْحَسَنِ بْنِ مُحَمَّدِ بْنِ سَمَاعَةَ عَنْ غَ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 وَاحِدٍ مِنْ أَصْحَابِهِ عَنْ أَبَانِ بْنِ عُثْمَانَ عَنْ بَعْضِ أَصْحَابِهِ عَنْ أَبِ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فِ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الصَّبِ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إِذَا شَبَّ فَاخْتَارَ النَّصْرَانِ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ةَ وَ أَحَدُ أَبَوَ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نَصْرَانِ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أَوْ مُسْلِمَ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نِ قَالَ لَا 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تْرَ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لَ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 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ضْرَبُ عَلَ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الْإِسْلَامِ.</w:t>
      </w:r>
      <w:r w:rsidR="0088556B"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0D7CF3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5435B3" w:rsidRPr="000D7CF3" w:rsidRDefault="005435B3" w:rsidP="005435B3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0D7CF3">
        <w:rPr>
          <w:rFonts w:ascii="IRBadr" w:eastAsia="Times New Roman" w:hAnsi="IRBadr" w:cs="IRBadr"/>
          <w:sz w:val="28"/>
          <w:szCs w:val="28"/>
          <w:rtl/>
          <w:lang w:bidi="fa-IR"/>
        </w:rPr>
        <w:t>منظور از شباب در اینجا قبل از بلوغ است.</w:t>
      </w:r>
      <w:r w:rsidR="0088556B" w:rsidRPr="000D7CF3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چراکه</w:t>
      </w:r>
      <w:r w:rsidRPr="000D7CF3">
        <w:rPr>
          <w:rFonts w:ascii="IRBadr" w:eastAsia="Times New Roman" w:hAnsi="IRBadr" w:cs="IRBadr"/>
          <w:sz w:val="28"/>
          <w:szCs w:val="28"/>
          <w:rtl/>
          <w:lang w:bidi="fa-IR"/>
        </w:rPr>
        <w:t xml:space="preserve"> شباب در لغت معنای وسیعی دارد و گاهی به دوره نوجوانی نیز اطلاق </w:t>
      </w:r>
      <w:r w:rsidR="0088556B" w:rsidRPr="000D7CF3">
        <w:rPr>
          <w:rFonts w:ascii="IRBadr" w:eastAsia="Times New Roman" w:hAnsi="IRBadr" w:cs="IRBadr"/>
          <w:sz w:val="28"/>
          <w:szCs w:val="28"/>
          <w:rtl/>
          <w:lang w:bidi="fa-IR"/>
        </w:rPr>
        <w:t>می‌شود</w:t>
      </w:r>
      <w:r w:rsidRPr="000D7CF3">
        <w:rPr>
          <w:rFonts w:ascii="IRBadr" w:eastAsia="Times New Roman" w:hAnsi="IRBadr" w:cs="IRBadr"/>
          <w:sz w:val="28"/>
          <w:szCs w:val="28"/>
          <w:rtl/>
          <w:lang w:bidi="fa-IR"/>
        </w:rPr>
        <w:t>.</w:t>
      </w: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5435B3" w:rsidRPr="000D7CF3" w:rsidRDefault="005435B3" w:rsidP="005435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0D7CF3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0D7CF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A25" w:rsidRDefault="00B12A25" w:rsidP="000D5800">
      <w:pPr>
        <w:spacing w:after="0" w:line="240" w:lineRule="auto"/>
      </w:pPr>
      <w:r>
        <w:separator/>
      </w:r>
    </w:p>
  </w:endnote>
  <w:endnote w:type="continuationSeparator" w:id="0">
    <w:p w:rsidR="00B12A25" w:rsidRDefault="00B12A2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A25" w:rsidRDefault="00B12A25" w:rsidP="009161AA">
      <w:pPr>
        <w:bidi/>
        <w:spacing w:after="0" w:line="240" w:lineRule="auto"/>
      </w:pPr>
      <w:r>
        <w:separator/>
      </w:r>
    </w:p>
  </w:footnote>
  <w:footnote w:type="continuationSeparator" w:id="0">
    <w:p w:rsidR="00B12A25" w:rsidRDefault="00B12A25" w:rsidP="000D5800">
      <w:pPr>
        <w:spacing w:after="0" w:line="240" w:lineRule="auto"/>
      </w:pPr>
      <w:r>
        <w:continuationSeparator/>
      </w:r>
    </w:p>
  </w:footnote>
  <w:footnote w:id="1">
    <w:p w:rsidR="005435B3" w:rsidRPr="00A22AC9" w:rsidRDefault="005435B3" w:rsidP="005435B3">
      <w:pPr>
        <w:pStyle w:val="FootnoteText"/>
        <w:rPr>
          <w:rFonts w:ascii="IRBadr" w:hAnsi="IRBadr" w:cs="IRBadr"/>
          <w:b/>
          <w:bCs/>
          <w:rtl/>
        </w:rPr>
      </w:pPr>
      <w:r w:rsidRPr="00A22AC9">
        <w:rPr>
          <w:rStyle w:val="FootnoteReference"/>
          <w:rFonts w:ascii="IRBadr" w:hAnsi="IRBadr" w:cs="IRBadr"/>
          <w:b/>
          <w:bCs/>
        </w:rPr>
        <w:footnoteRef/>
      </w:r>
      <w:r w:rsidRPr="00A22AC9">
        <w:rPr>
          <w:rFonts w:ascii="IRBadr" w:hAnsi="IRBadr" w:cs="IRBadr"/>
          <w:b/>
          <w:bCs/>
        </w:rPr>
        <w:t xml:space="preserve"> </w:t>
      </w:r>
      <w:r w:rsidR="00A22AC9" w:rsidRPr="00A22AC9">
        <w:rPr>
          <w:rFonts w:ascii="IRBadr" w:hAnsi="IRBadr" w:cs="IRBadr"/>
          <w:b/>
          <w:bCs/>
          <w:rtl/>
        </w:rPr>
        <w:t xml:space="preserve">- </w:t>
      </w:r>
      <w:r w:rsidRPr="00A22AC9">
        <w:rPr>
          <w:rFonts w:ascii="IRBadr" w:hAnsi="IRBadr" w:cs="IRBadr"/>
          <w:b/>
          <w:bCs/>
          <w:rtl/>
        </w:rPr>
        <w:t>صافات /103</w:t>
      </w:r>
      <w:r w:rsidR="00A22AC9" w:rsidRPr="00A22AC9">
        <w:rPr>
          <w:rFonts w:ascii="IRBadr" w:hAnsi="IRBadr" w:cs="IRBadr"/>
          <w:b/>
          <w:bCs/>
          <w:rtl/>
        </w:rPr>
        <w:t>.</w:t>
      </w:r>
    </w:p>
  </w:footnote>
  <w:footnote w:id="2">
    <w:p w:rsidR="005435B3" w:rsidRPr="00A22AC9" w:rsidRDefault="005435B3" w:rsidP="00A22AC9">
      <w:pPr>
        <w:pStyle w:val="FootnoteText"/>
        <w:rPr>
          <w:rFonts w:ascii="IRBadr" w:hAnsi="IRBadr" w:cs="IRBadr"/>
          <w:b/>
          <w:bCs/>
          <w:rtl/>
        </w:rPr>
      </w:pPr>
      <w:r w:rsidRPr="00A22AC9">
        <w:rPr>
          <w:rStyle w:val="FootnoteReference"/>
          <w:rFonts w:ascii="IRBadr" w:hAnsi="IRBadr" w:cs="IRBadr"/>
          <w:b/>
          <w:bCs/>
        </w:rPr>
        <w:footnoteRef/>
      </w:r>
      <w:r w:rsidRPr="00A22AC9">
        <w:rPr>
          <w:rFonts w:ascii="IRBadr" w:hAnsi="IRBadr" w:cs="IRBadr"/>
          <w:b/>
          <w:bCs/>
        </w:rPr>
        <w:t xml:space="preserve"> </w:t>
      </w:r>
      <w:r w:rsidR="00A22AC9" w:rsidRPr="00A22AC9">
        <w:rPr>
          <w:rFonts w:ascii="IRBadr" w:hAnsi="IRBadr" w:cs="IRBadr"/>
          <w:b/>
          <w:bCs/>
          <w:rtl/>
        </w:rPr>
        <w:t>- حجرات/14.</w:t>
      </w:r>
    </w:p>
  </w:footnote>
  <w:footnote w:id="3">
    <w:p w:rsidR="005435B3" w:rsidRPr="00A22AC9" w:rsidRDefault="005435B3" w:rsidP="005435B3">
      <w:pPr>
        <w:pStyle w:val="FootnoteText"/>
        <w:rPr>
          <w:rFonts w:ascii="IRBadr" w:hAnsi="IRBadr" w:cs="IRBadr" w:hint="cs"/>
          <w:b/>
          <w:bCs/>
          <w:rtl/>
        </w:rPr>
      </w:pPr>
      <w:r w:rsidRPr="00A22AC9">
        <w:rPr>
          <w:rStyle w:val="FootnoteReference"/>
          <w:rFonts w:ascii="IRBadr" w:hAnsi="IRBadr" w:cs="IRBadr"/>
          <w:b/>
          <w:bCs/>
        </w:rPr>
        <w:footnoteRef/>
      </w:r>
      <w:r w:rsidRPr="00A22AC9">
        <w:rPr>
          <w:rFonts w:ascii="IRBadr" w:hAnsi="IRBadr" w:cs="IRBadr"/>
          <w:b/>
          <w:bCs/>
        </w:rPr>
        <w:t xml:space="preserve"> </w:t>
      </w:r>
      <w:r w:rsidR="00A22AC9" w:rsidRPr="00A22AC9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تهذ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ی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ک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ج 8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، ص: 236</w:t>
      </w:r>
      <w:r w:rsidR="00A22AC9" w:rsidRPr="00A22AC9">
        <w:rPr>
          <w:rFonts w:ascii="IRBadr" w:hAnsi="IRBadr" w:cs="IRBadr"/>
          <w:b/>
          <w:bCs/>
          <w:rtl/>
        </w:rPr>
        <w:t>.</w:t>
      </w:r>
      <w:bookmarkStart w:id="7" w:name="_GoBack"/>
      <w:bookmarkEnd w:id="7"/>
    </w:p>
  </w:footnote>
  <w:footnote w:id="4">
    <w:p w:rsidR="005435B3" w:rsidRPr="00A22AC9" w:rsidRDefault="005435B3" w:rsidP="005435B3">
      <w:pPr>
        <w:pStyle w:val="FootnoteText"/>
        <w:rPr>
          <w:rFonts w:ascii="IRBadr" w:hAnsi="IRBadr" w:cs="IRBadr"/>
          <w:b/>
          <w:bCs/>
          <w:rtl/>
        </w:rPr>
      </w:pPr>
      <w:r w:rsidRPr="00A22AC9">
        <w:rPr>
          <w:rStyle w:val="FootnoteReference"/>
          <w:rFonts w:ascii="IRBadr" w:hAnsi="IRBadr" w:cs="IRBadr"/>
          <w:b/>
          <w:bCs/>
        </w:rPr>
        <w:footnoteRef/>
      </w:r>
      <w:r w:rsidRPr="00A22AC9">
        <w:rPr>
          <w:rFonts w:ascii="IRBadr" w:hAnsi="IRBadr" w:cs="IRBadr"/>
          <w:b/>
          <w:bCs/>
        </w:rPr>
        <w:t xml:space="preserve"> </w:t>
      </w:r>
      <w:r w:rsidR="00A22AC9" w:rsidRPr="00A22AC9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ال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ک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اف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ی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ی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88556B" w:rsidRPr="00A22AC9">
        <w:rPr>
          <w:rFonts w:ascii="IRBadr" w:hAnsi="IRBadr" w:cs="IRBadr"/>
          <w:b/>
          <w:bCs/>
          <w:color w:val="000000" w:themeColor="text1"/>
          <w:rtl/>
        </w:rPr>
        <w:t>ج 7</w:t>
      </w:r>
      <w:r w:rsidRPr="00A22AC9">
        <w:rPr>
          <w:rFonts w:ascii="IRBadr" w:hAnsi="IRBadr" w:cs="IRBadr"/>
          <w:b/>
          <w:bCs/>
          <w:color w:val="000000" w:themeColor="text1"/>
          <w:rtl/>
        </w:rPr>
        <w:t>، ص: 257</w:t>
      </w:r>
      <w:r w:rsidR="00A22AC9" w:rsidRPr="00A22AC9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435B3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74CBDA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435B3">
      <w:rPr>
        <w:rFonts w:ascii="IranNastaliq" w:hAnsi="IranNastaliq" w:cs="IranNastaliq" w:hint="cs"/>
        <w:sz w:val="40"/>
        <w:szCs w:val="40"/>
        <w:rtl/>
        <w:lang w:bidi="fa-IR"/>
      </w:rPr>
      <w:t>930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0D04"/>
    <w:rsid w:val="000B725D"/>
    <w:rsid w:val="000D2D0D"/>
    <w:rsid w:val="000D5800"/>
    <w:rsid w:val="000D7CF3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0C32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094C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B337F"/>
    <w:rsid w:val="004F3596"/>
    <w:rsid w:val="004F56BA"/>
    <w:rsid w:val="00500F00"/>
    <w:rsid w:val="005435B3"/>
    <w:rsid w:val="00560405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A2CFF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6562"/>
    <w:rsid w:val="00857C21"/>
    <w:rsid w:val="008644F4"/>
    <w:rsid w:val="00883733"/>
    <w:rsid w:val="0088556B"/>
    <w:rsid w:val="008965D2"/>
    <w:rsid w:val="008A236D"/>
    <w:rsid w:val="008A755F"/>
    <w:rsid w:val="008B565A"/>
    <w:rsid w:val="008C3414"/>
    <w:rsid w:val="008D36D5"/>
    <w:rsid w:val="008E3903"/>
    <w:rsid w:val="008F197C"/>
    <w:rsid w:val="008F63E3"/>
    <w:rsid w:val="00913C3B"/>
    <w:rsid w:val="00915509"/>
    <w:rsid w:val="009161AA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22AC9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2A25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38E4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761C2"/>
    <w:rsid w:val="00E83A85"/>
    <w:rsid w:val="00E90FC4"/>
    <w:rsid w:val="00EA01EC"/>
    <w:rsid w:val="00EA15B0"/>
    <w:rsid w:val="00EA5D97"/>
    <w:rsid w:val="00EB090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  <w:rsid w:val="00F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6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16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EF60-1B08-4691-98A4-771E39FA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87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35</cp:revision>
  <dcterms:created xsi:type="dcterms:W3CDTF">2014-12-20T10:23:00Z</dcterms:created>
  <dcterms:modified xsi:type="dcterms:W3CDTF">2015-08-20T05:10:00Z</dcterms:modified>
</cp:coreProperties>
</file>